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09" w:rsidRDefault="0083470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E95278">
        <w:rPr>
          <w:rFonts w:ascii="Arial" w:hAnsi="Arial" w:cs="Arial"/>
          <w:b/>
          <w:sz w:val="28"/>
          <w:szCs w:val="28"/>
        </w:rPr>
        <w:t>II/</w:t>
      </w:r>
      <w:r w:rsidR="00CB514D">
        <w:rPr>
          <w:rFonts w:ascii="Arial" w:hAnsi="Arial" w:cs="Arial"/>
          <w:b/>
          <w:sz w:val="28"/>
          <w:szCs w:val="28"/>
        </w:rPr>
        <w:t>347 Světlá nad Sázavou – přeložka silnice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690FF5">
        <w:rPr>
          <w:rFonts w:ascii="Arial" w:hAnsi="Arial" w:cs="Arial"/>
          <w:b/>
          <w:sz w:val="22"/>
          <w:szCs w:val="22"/>
        </w:rPr>
        <w:t>Město Světlá nad Sázavou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náměstí Trčků z Lípy 18, 582 91 Světlá nad Sázavou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……………………………………, starosta města</w:t>
      </w:r>
    </w:p>
    <w:p w:rsidR="00C84FA8" w:rsidRDefault="00C84FA8" w:rsidP="00622FF8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……………………………………, starosta města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Ing. Jana Satrapová, Vladimíra Krajanská</w:t>
      </w:r>
    </w:p>
    <w:p w:rsidR="00AA3C81" w:rsidRPr="00622FF8" w:rsidRDefault="005726E4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b</w:t>
      </w:r>
      <w:r w:rsidR="00AA3C81" w:rsidRPr="00622FF8">
        <w:rPr>
          <w:rFonts w:ascii="Arial" w:eastAsia="MS Mincho" w:hAnsi="Arial" w:cs="Arial"/>
          <w:sz w:val="22"/>
          <w:szCs w:val="22"/>
        </w:rPr>
        <w:t>ankovní spojení:</w:t>
      </w:r>
      <w:r w:rsidR="00AA3C81" w:rsidRPr="00622FF8">
        <w:rPr>
          <w:rFonts w:ascii="Arial" w:eastAsia="MS Mincho" w:hAnsi="Arial" w:cs="Arial"/>
          <w:sz w:val="22"/>
          <w:szCs w:val="22"/>
        </w:rPr>
        <w:tab/>
      </w:r>
      <w:r w:rsidR="008E37BD" w:rsidRPr="00622FF8">
        <w:rPr>
          <w:rFonts w:ascii="Arial" w:eastAsia="MS Mincho" w:hAnsi="Arial" w:cs="Arial"/>
          <w:sz w:val="22"/>
          <w:szCs w:val="22"/>
        </w:rPr>
        <w:t>Komerční banka</w:t>
      </w:r>
      <w:r w:rsidR="00B06B87" w:rsidRPr="00622FF8">
        <w:rPr>
          <w:rFonts w:ascii="Arial" w:eastAsia="MS Mincho" w:hAnsi="Arial" w:cs="Arial"/>
          <w:sz w:val="22"/>
          <w:szCs w:val="22"/>
        </w:rPr>
        <w:t>, a.s.</w:t>
      </w:r>
    </w:p>
    <w:p w:rsidR="00AA3C81" w:rsidRPr="00622FF8" w:rsidRDefault="005726E4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č</w:t>
      </w:r>
      <w:r w:rsidR="00AA3C81" w:rsidRPr="00622FF8">
        <w:rPr>
          <w:rFonts w:ascii="Arial" w:eastAsia="MS Mincho" w:hAnsi="Arial" w:cs="Arial"/>
          <w:sz w:val="22"/>
          <w:szCs w:val="22"/>
        </w:rPr>
        <w:t>íslo účtu:</w:t>
      </w:r>
      <w:r w:rsidR="00AA3C81" w:rsidRPr="00622FF8"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2621521</w:t>
      </w:r>
      <w:r w:rsidR="00B06B87" w:rsidRPr="00622FF8">
        <w:rPr>
          <w:rFonts w:ascii="Arial" w:eastAsia="MS Mincho" w:hAnsi="Arial" w:cs="Arial"/>
          <w:sz w:val="22"/>
          <w:szCs w:val="22"/>
        </w:rPr>
        <w:t>/0100</w:t>
      </w:r>
    </w:p>
    <w:p w:rsidR="00AA3C81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622FF8">
        <w:rPr>
          <w:rFonts w:ascii="Arial" w:eastAsia="MS Mincho" w:hAnsi="Arial" w:cs="Arial"/>
          <w:sz w:val="22"/>
          <w:szCs w:val="22"/>
        </w:rPr>
        <w:t>IČO:</w:t>
      </w:r>
      <w:r w:rsidRPr="00622FF8">
        <w:rPr>
          <w:rFonts w:ascii="Arial" w:eastAsia="MS Mincho" w:hAnsi="Arial" w:cs="Arial"/>
          <w:sz w:val="22"/>
          <w:szCs w:val="22"/>
        </w:rPr>
        <w:tab/>
      </w:r>
      <w:r w:rsidR="00690FF5">
        <w:rPr>
          <w:rFonts w:ascii="Arial" w:eastAsia="MS Mincho" w:hAnsi="Arial" w:cs="Arial"/>
          <w:sz w:val="22"/>
          <w:szCs w:val="22"/>
        </w:rPr>
        <w:t>00268321</w:t>
      </w:r>
    </w:p>
    <w:p w:rsidR="00690FF5" w:rsidRPr="007865CF" w:rsidRDefault="00690FF5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DIČ:</w:t>
      </w:r>
      <w:r>
        <w:rPr>
          <w:rFonts w:ascii="Arial" w:eastAsia="MS Mincho" w:hAnsi="Arial" w:cs="Arial"/>
          <w:sz w:val="22"/>
          <w:szCs w:val="22"/>
        </w:rPr>
        <w:tab/>
        <w:t>CZ00268321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4E668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A6309B">
        <w:rPr>
          <w:rFonts w:ascii="Arial" w:hAnsi="Arial" w:cs="Arial"/>
          <w:b/>
          <w:bCs/>
          <w:sz w:val="22"/>
          <w:szCs w:val="22"/>
        </w:rPr>
        <w:t>II/347 Světlá nad Sázavou</w:t>
      </w:r>
      <w:r w:rsidR="004E668C">
        <w:rPr>
          <w:rFonts w:ascii="Arial" w:hAnsi="Arial" w:cs="Arial"/>
          <w:b/>
          <w:bCs/>
          <w:sz w:val="22"/>
          <w:szCs w:val="22"/>
        </w:rPr>
        <w:t xml:space="preserve">, </w:t>
      </w:r>
      <w:r w:rsidR="00A6309B">
        <w:rPr>
          <w:rFonts w:ascii="Arial" w:hAnsi="Arial" w:cs="Arial"/>
          <w:b/>
          <w:bCs/>
          <w:sz w:val="22"/>
          <w:szCs w:val="22"/>
        </w:rPr>
        <w:t>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A6309B" w:rsidRDefault="009B2530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A6309B">
        <w:rPr>
          <w:rFonts w:ascii="Arial" w:hAnsi="Arial" w:cs="Arial"/>
          <w:sz w:val="22"/>
          <w:szCs w:val="22"/>
        </w:rPr>
        <w:t>stavební povolení (dále jen „D</w:t>
      </w:r>
      <w:r w:rsidRPr="007C320C">
        <w:rPr>
          <w:rFonts w:ascii="Arial" w:hAnsi="Arial" w:cs="Arial"/>
          <w:sz w:val="22"/>
          <w:szCs w:val="22"/>
        </w:rPr>
        <w:t xml:space="preserve">SP“), včetně zajištění </w:t>
      </w:r>
      <w:r w:rsidR="00A6309B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 xml:space="preserve">stavebního povolení (dále jen „SP“), </w:t>
      </w:r>
      <w:r w:rsidR="00A6309B" w:rsidRPr="00A6309B">
        <w:rPr>
          <w:rFonts w:ascii="Arial" w:hAnsi="Arial" w:cs="Arial"/>
          <w:sz w:val="22"/>
          <w:szCs w:val="22"/>
        </w:rPr>
        <w:t xml:space="preserve">zajištěním nutných vyjádření, souhlasů a stavebních povolení k </w:t>
      </w:r>
      <w:r w:rsidR="00A6309B" w:rsidRPr="00A6309B">
        <w:rPr>
          <w:rFonts w:ascii="Arial" w:hAnsi="Arial" w:cs="Arial"/>
          <w:sz w:val="22"/>
          <w:szCs w:val="22"/>
        </w:rPr>
        <w:lastRenderedPageBreak/>
        <w:t xml:space="preserve">předmětné akci. Dokumentace </w:t>
      </w:r>
      <w:r w:rsidR="00A6309B">
        <w:rPr>
          <w:rFonts w:ascii="Arial" w:hAnsi="Arial" w:cs="Arial"/>
          <w:sz w:val="22"/>
          <w:szCs w:val="22"/>
        </w:rPr>
        <w:t xml:space="preserve">DSP </w:t>
      </w:r>
      <w:r w:rsidR="00A6309B" w:rsidRPr="00A6309B">
        <w:rPr>
          <w:rFonts w:ascii="Arial" w:hAnsi="Arial" w:cs="Arial"/>
          <w:sz w:val="22"/>
          <w:szCs w:val="22"/>
        </w:rPr>
        <w:t xml:space="preserve">bude vycházet z projektové dokumentace „Propojení silnice II/150 a II/347 Zámecká – Nádražní“ vypracované ve stupni DÚR společností TRANSCONSULT s.r.o., Nerudova 37/32, 500 02 Hradec Králové, IČO 47455292  a z  vydaného pravomocného územního rozhodnutí </w:t>
      </w:r>
      <w:proofErr w:type="gramStart"/>
      <w:r w:rsidR="00A6309B" w:rsidRPr="00A6309B">
        <w:rPr>
          <w:rFonts w:ascii="Arial" w:hAnsi="Arial" w:cs="Arial"/>
          <w:sz w:val="22"/>
          <w:szCs w:val="22"/>
        </w:rPr>
        <w:t>č.j.</w:t>
      </w:r>
      <w:proofErr w:type="gramEnd"/>
      <w:r w:rsidR="00A6309B" w:rsidRPr="00A6309B">
        <w:rPr>
          <w:rFonts w:ascii="Arial" w:hAnsi="Arial" w:cs="Arial"/>
          <w:sz w:val="22"/>
          <w:szCs w:val="22"/>
        </w:rPr>
        <w:t>:  KUJI 16831/2022 vydaného dne 21. 2. 2022</w:t>
      </w:r>
      <w:r w:rsidR="00A6309B">
        <w:rPr>
          <w:rFonts w:ascii="Arial" w:hAnsi="Arial" w:cs="Arial"/>
          <w:sz w:val="22"/>
          <w:szCs w:val="22"/>
        </w:rPr>
        <w:t>.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F64DB3" w:rsidRPr="000226CE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226C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0226CE">
        <w:rPr>
          <w:rFonts w:ascii="Arial" w:hAnsi="Arial" w:cs="Arial"/>
          <w:sz w:val="22"/>
          <w:szCs w:val="22"/>
        </w:rPr>
        <w:t>objednatel</w:t>
      </w:r>
      <w:r w:rsidR="006C0214" w:rsidRPr="000226CE">
        <w:rPr>
          <w:rFonts w:ascii="Arial" w:hAnsi="Arial" w:cs="Arial"/>
          <w:sz w:val="22"/>
          <w:szCs w:val="22"/>
        </w:rPr>
        <w:t>.</w:t>
      </w:r>
      <w:r w:rsidR="00F64DB3" w:rsidRPr="000226CE">
        <w:rPr>
          <w:rFonts w:ascii="Arial" w:hAnsi="Arial" w:cs="Arial"/>
          <w:sz w:val="22"/>
          <w:szCs w:val="22"/>
        </w:rPr>
        <w:t xml:space="preserve"> </w:t>
      </w:r>
    </w:p>
    <w:p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</w:t>
      </w:r>
      <w:r w:rsidR="00B723C9" w:rsidRPr="00B723C9">
        <w:rPr>
          <w:bCs/>
          <w:color w:val="000000"/>
          <w:szCs w:val="22"/>
        </w:rPr>
        <w:t>Směrnice pro dokumentaci staveb pozemních komunikací schválená Ministerstvem dopravy, pod č. j. MD-23142/2022-930/2 ze dne 12. 7. 2022 s účinností od 1. 8. 2022 ve znění pozdějších předpisů.</w:t>
      </w:r>
    </w:p>
    <w:p w:rsidR="00B723C9" w:rsidRDefault="00B723C9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A6309B">
        <w:rPr>
          <w:rFonts w:ascii="Arial" w:hAnsi="Arial" w:cs="Arial"/>
          <w:b/>
          <w:bCs/>
          <w:i/>
          <w:sz w:val="22"/>
          <w:szCs w:val="22"/>
          <w:u w:val="single"/>
        </w:rPr>
        <w:t>D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SP</w:t>
      </w:r>
    </w:p>
    <w:p w:rsidR="00AB09DC" w:rsidRDefault="00AB09DC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A6309B">
        <w:rPr>
          <w:rFonts w:ascii="Arial" w:hAnsi="Arial" w:cs="Arial"/>
          <w:bCs/>
          <w:sz w:val="22"/>
          <w:szCs w:val="22"/>
        </w:rPr>
        <w:t xml:space="preserve">včetně lokalizace inženýrských sítí 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FA4E4C" w:rsidRPr="002429AE" w:rsidRDefault="002429A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429AE">
        <w:rPr>
          <w:rFonts w:ascii="Arial" w:hAnsi="Arial" w:cs="Arial"/>
          <w:bCs/>
          <w:sz w:val="22"/>
          <w:szCs w:val="22"/>
        </w:rPr>
        <w:t>Součástí DSP bude rovněž plán BOZP zpracovaný v přípravné fázi stavby.</w:t>
      </w:r>
    </w:p>
    <w:p w:rsidR="002429AE" w:rsidRDefault="002429AE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024831" w:rsidRPr="004370F9" w:rsidRDefault="00024831" w:rsidP="000248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</w:t>
      </w:r>
      <w:r w:rsidR="008878AC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:rsidR="00024831" w:rsidRDefault="00024831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:rsidR="00690FF5" w:rsidRPr="00143311" w:rsidRDefault="00690FF5" w:rsidP="00690FF5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 xml:space="preserve">SO 110 </w:t>
      </w:r>
      <w:r>
        <w:rPr>
          <w:rFonts w:ascii="Arial" w:hAnsi="Arial" w:cs="Arial"/>
          <w:sz w:val="22"/>
          <w:szCs w:val="22"/>
        </w:rPr>
        <w:t>-</w:t>
      </w:r>
      <w:r w:rsidRPr="00143311">
        <w:rPr>
          <w:rFonts w:ascii="Arial" w:hAnsi="Arial" w:cs="Arial"/>
          <w:sz w:val="22"/>
          <w:szCs w:val="22"/>
        </w:rPr>
        <w:t xml:space="preserve"> Chodníky</w:t>
      </w:r>
    </w:p>
    <w:p w:rsidR="00690FF5" w:rsidRPr="00143311" w:rsidRDefault="00690FF5" w:rsidP="00690FF5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192 - Dopravní značení místních komunikací</w:t>
      </w:r>
    </w:p>
    <w:p w:rsidR="00690FF5" w:rsidRPr="00143311" w:rsidRDefault="00690FF5" w:rsidP="00690FF5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431 - VO přeložky silnice II/347</w:t>
      </w:r>
    </w:p>
    <w:p w:rsidR="00690FF5" w:rsidRPr="00143311" w:rsidRDefault="00690FF5" w:rsidP="00690FF5">
      <w:pPr>
        <w:pStyle w:val="Odstavecseseznamem"/>
        <w:overflowPunct/>
        <w:ind w:left="1004"/>
        <w:rPr>
          <w:rFonts w:ascii="Arial" w:hAnsi="Arial" w:cs="Arial"/>
          <w:sz w:val="22"/>
          <w:szCs w:val="22"/>
        </w:rPr>
      </w:pPr>
      <w:r w:rsidRPr="00143311">
        <w:rPr>
          <w:rFonts w:ascii="Arial" w:hAnsi="Arial" w:cs="Arial"/>
          <w:sz w:val="22"/>
          <w:szCs w:val="22"/>
        </w:rPr>
        <w:t>SO 432 - Osvětlení přechodů pro chodce</w:t>
      </w:r>
    </w:p>
    <w:p w:rsidR="002429AE" w:rsidRDefault="002429AE" w:rsidP="002429AE">
      <w:pPr>
        <w:overflowPunct/>
        <w:rPr>
          <w:rFonts w:ascii="Arial" w:hAnsi="Arial" w:cs="Arial"/>
          <w:sz w:val="22"/>
          <w:szCs w:val="22"/>
        </w:rPr>
      </w:pPr>
    </w:p>
    <w:p w:rsidR="00BB7F9D" w:rsidRDefault="00BB7F9D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82171" w:rsidRDefault="00D82171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82171" w:rsidRDefault="00D82171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82171" w:rsidRDefault="00D82171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Pr="00F74F1B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646A9">
        <w:rPr>
          <w:rFonts w:ascii="Arial" w:hAnsi="Arial" w:cs="Arial"/>
          <w:sz w:val="22"/>
          <w:szCs w:val="22"/>
        </w:rPr>
        <w:lastRenderedPageBreak/>
        <w:t>DSP bude dodána v rámci dohodnuté ceny Objednateli v následujících počtech:</w:t>
      </w:r>
    </w:p>
    <w:p w:rsidR="002429AE" w:rsidRPr="00F74F1B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Pr="00F74F1B" w:rsidRDefault="00690FF5" w:rsidP="002429AE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429AE">
        <w:rPr>
          <w:rFonts w:ascii="Arial" w:hAnsi="Arial" w:cs="Arial"/>
          <w:sz w:val="22"/>
          <w:szCs w:val="22"/>
        </w:rPr>
        <w:t xml:space="preserve"> </w:t>
      </w:r>
      <w:r w:rsidR="002429AE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2429AE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2429AE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2429AE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2429AE" w:rsidRPr="00F74F1B">
        <w:rPr>
          <w:rFonts w:ascii="Arial" w:hAnsi="Arial" w:cs="Arial"/>
          <w:sz w:val="22"/>
          <w:szCs w:val="22"/>
        </w:rPr>
        <w:t xml:space="preserve"> (CD)</w:t>
      </w:r>
      <w:r w:rsidR="002429AE">
        <w:rPr>
          <w:rFonts w:ascii="Arial" w:hAnsi="Arial" w:cs="Arial"/>
          <w:sz w:val="22"/>
          <w:szCs w:val="22"/>
        </w:rPr>
        <w:t xml:space="preserve">. Z uvedených </w:t>
      </w:r>
      <w:r>
        <w:rPr>
          <w:rFonts w:ascii="Arial" w:hAnsi="Arial" w:cs="Arial"/>
          <w:sz w:val="22"/>
          <w:szCs w:val="22"/>
        </w:rPr>
        <w:t>čtyř</w:t>
      </w:r>
      <w:r w:rsidR="002429A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29AE">
        <w:rPr>
          <w:rFonts w:ascii="Arial" w:hAnsi="Arial" w:cs="Arial"/>
          <w:sz w:val="22"/>
          <w:szCs w:val="22"/>
        </w:rPr>
        <w:t>paré</w:t>
      </w:r>
      <w:proofErr w:type="spellEnd"/>
      <w:r w:rsidR="002429AE">
        <w:rPr>
          <w:rFonts w:ascii="Arial" w:hAnsi="Arial" w:cs="Arial"/>
          <w:sz w:val="22"/>
          <w:szCs w:val="22"/>
        </w:rPr>
        <w:t xml:space="preserve"> (v listinné podobě) budou </w:t>
      </w:r>
      <w:r>
        <w:rPr>
          <w:rFonts w:ascii="Arial" w:hAnsi="Arial" w:cs="Arial"/>
          <w:sz w:val="22"/>
          <w:szCs w:val="22"/>
        </w:rPr>
        <w:t>dvě</w:t>
      </w:r>
      <w:r w:rsidR="002429A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29AE">
        <w:rPr>
          <w:rFonts w:ascii="Arial" w:hAnsi="Arial" w:cs="Arial"/>
          <w:sz w:val="22"/>
          <w:szCs w:val="22"/>
        </w:rPr>
        <w:t>paré</w:t>
      </w:r>
      <w:proofErr w:type="spellEnd"/>
      <w:r w:rsidR="002429AE">
        <w:rPr>
          <w:rFonts w:ascii="Arial" w:hAnsi="Arial" w:cs="Arial"/>
          <w:sz w:val="22"/>
          <w:szCs w:val="22"/>
        </w:rPr>
        <w:t xml:space="preserve"> zhotovitelem použity jako příloha žádosti o vydání stavebního povolení </w:t>
      </w: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>
        <w:rPr>
          <w:rFonts w:ascii="Arial" w:hAnsi="Arial" w:cs="Arial"/>
          <w:sz w:val="22"/>
          <w:szCs w:val="22"/>
        </w:rPr>
        <w:t>DSP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>
        <w:rPr>
          <w:rFonts w:ascii="Arial" w:hAnsi="Arial" w:cs="Arial"/>
          <w:sz w:val="22"/>
          <w:szCs w:val="22"/>
        </w:rPr>
        <w:t>DSP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2429AE" w:rsidRPr="004425CC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:rsidR="002429AE" w:rsidRDefault="002429AE" w:rsidP="002429A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Pr="003F292F" w:rsidRDefault="002429AE" w:rsidP="002429AE">
      <w:pPr>
        <w:tabs>
          <w:tab w:val="num" w:pos="-15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3F292F">
        <w:rPr>
          <w:rFonts w:ascii="Arial" w:hAnsi="Arial" w:cs="Arial"/>
          <w:b/>
          <w:bCs/>
          <w:sz w:val="22"/>
          <w:szCs w:val="22"/>
        </w:rPr>
        <w:t xml:space="preserve">Elektronická (digitální) verze projektové dokumentace bude opatřena, v souladu </w:t>
      </w:r>
      <w:r w:rsidR="004C42A1" w:rsidRPr="003F292F">
        <w:rPr>
          <w:rFonts w:ascii="Arial" w:hAnsi="Arial" w:cs="Arial"/>
          <w:b/>
          <w:bCs/>
          <w:sz w:val="22"/>
          <w:szCs w:val="22"/>
        </w:rPr>
        <w:br/>
      </w:r>
      <w:r w:rsidRPr="003F292F">
        <w:rPr>
          <w:rFonts w:ascii="Arial" w:hAnsi="Arial" w:cs="Arial"/>
          <w:b/>
          <w:bCs/>
          <w:sz w:val="22"/>
          <w:szCs w:val="22"/>
        </w:rPr>
        <w:t>s Autorizačním zákonem č. 360/1992 Sb., ve znění pozdějších předpisů, elektronickým autorizovaným razítkem na všech místech, kde ve fyzické podobě figuruje autorizační razítko. Ruční podpis bude v elektronické verzi nahrazen kvalifikovaným elektronickým podpisem.</w:t>
      </w:r>
    </w:p>
    <w:p w:rsidR="002429AE" w:rsidRPr="00675A6F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429AE" w:rsidRDefault="002429AE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:rsidR="00BB7F9D" w:rsidRPr="00675A6F" w:rsidRDefault="00BB7F9D" w:rsidP="002429A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2429AE" w:rsidRPr="002429AE">
        <w:rPr>
          <w:rFonts w:ascii="Arial" w:hAnsi="Arial" w:cs="Arial"/>
          <w:spacing w:val="-4"/>
          <w:sz w:val="22"/>
          <w:szCs w:val="22"/>
        </w:rPr>
        <w:t xml:space="preserve">pravomocného stavebního povolení, případně dalších nutných povolení (např. povolení o odstranění čp. 567 apod.) na akci „II/347 Světlá </w:t>
      </w:r>
      <w:r w:rsidR="002429AE">
        <w:rPr>
          <w:rFonts w:ascii="Arial" w:hAnsi="Arial" w:cs="Arial"/>
          <w:spacing w:val="-4"/>
          <w:sz w:val="22"/>
          <w:szCs w:val="22"/>
        </w:rPr>
        <w:t>nad Sázavou – přeložka silnice“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</w:t>
      </w:r>
      <w:r>
        <w:rPr>
          <w:rFonts w:ascii="Arial" w:hAnsi="Arial" w:cs="Arial"/>
          <w:sz w:val="22"/>
          <w:szCs w:val="22"/>
        </w:rPr>
        <w:lastRenderedPageBreak/>
        <w:t xml:space="preserve">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  <w:r w:rsidR="009D22C1" w:rsidRPr="009D22C1">
        <w:t xml:space="preserve"> </w:t>
      </w:r>
      <w:r w:rsidR="009D22C1" w:rsidRPr="009D22C1">
        <w:rPr>
          <w:rFonts w:ascii="Arial" w:hAnsi="Arial" w:cs="Arial"/>
          <w:sz w:val="22"/>
          <w:szCs w:val="22"/>
        </w:rPr>
        <w:t>Odsouhlasením ze strany Objednatele není dotčena odpovědnost Zhotovitele za vady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DF701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="00DC62CD">
        <w:rPr>
          <w:rFonts w:ascii="Arial" w:hAnsi="Arial" w:cs="Arial"/>
          <w:bCs/>
          <w:spacing w:val="-2"/>
          <w:sz w:val="22"/>
          <w:szCs w:val="22"/>
        </w:rPr>
        <w:t xml:space="preserve">dokumentace </w:t>
      </w:r>
      <w:r w:rsidRPr="00F74F1B">
        <w:rPr>
          <w:rFonts w:ascii="Arial" w:hAnsi="Arial" w:cs="Arial"/>
          <w:bCs/>
          <w:sz w:val="22"/>
          <w:szCs w:val="22"/>
        </w:rPr>
        <w:t>v plném rozsahu a to vždy nejpozději 14 dní před předáním čistopisu.</w:t>
      </w:r>
      <w:r w:rsidR="00DF701E" w:rsidRPr="00DF701E">
        <w:t xml:space="preserve"> </w:t>
      </w:r>
      <w:r w:rsidR="00DF701E" w:rsidRPr="00DF701E">
        <w:rPr>
          <w:rFonts w:ascii="Arial" w:hAnsi="Arial" w:cs="Arial"/>
          <w:bCs/>
          <w:sz w:val="22"/>
          <w:szCs w:val="22"/>
        </w:rPr>
        <w:t>Odsouhlasením ze strany Objednatele není dotčena odpovědnost Zhotovitele za vady</w:t>
      </w:r>
      <w:r w:rsidR="00DF701E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3D0F7A">
        <w:rPr>
          <w:rFonts w:ascii="Arial" w:hAnsi="Arial" w:cs="Arial"/>
          <w:sz w:val="22"/>
          <w:szCs w:val="22"/>
          <w:lang w:val="pl-PL"/>
        </w:rPr>
        <w:t>31</w:t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5F550E" w:rsidRPr="003D0F7A">
        <w:rPr>
          <w:rFonts w:ascii="Arial" w:hAnsi="Arial" w:cs="Arial"/>
          <w:sz w:val="22"/>
          <w:szCs w:val="22"/>
          <w:lang w:val="pl-PL"/>
        </w:rPr>
        <w:t>1</w:t>
      </w:r>
      <w:r w:rsidR="00CC4665" w:rsidRPr="003D0F7A">
        <w:rPr>
          <w:rFonts w:ascii="Arial" w:hAnsi="Arial" w:cs="Arial"/>
          <w:sz w:val="22"/>
          <w:szCs w:val="22"/>
          <w:lang w:val="pl-PL"/>
        </w:rPr>
        <w:t>0</w:t>
      </w:r>
      <w:r w:rsidR="005F550E" w:rsidRPr="003D0F7A">
        <w:rPr>
          <w:rFonts w:ascii="Arial" w:hAnsi="Arial" w:cs="Arial"/>
          <w:sz w:val="22"/>
          <w:szCs w:val="22"/>
          <w:lang w:val="pl-PL"/>
        </w:rPr>
        <w:t>. 2023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stavebního povolení</w:t>
      </w: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C4665" w:rsidRPr="003D0F7A">
        <w:rPr>
          <w:rFonts w:ascii="Arial" w:hAnsi="Arial" w:cs="Arial"/>
          <w:sz w:val="22"/>
          <w:szCs w:val="22"/>
          <w:lang w:val="pl-PL"/>
        </w:rPr>
        <w:t>30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3F292F">
        <w:rPr>
          <w:rFonts w:ascii="Arial" w:hAnsi="Arial" w:cs="Arial"/>
          <w:sz w:val="22"/>
          <w:szCs w:val="22"/>
          <w:lang w:val="pl-PL"/>
        </w:rPr>
        <w:t>5</w:t>
      </w:r>
      <w:r w:rsidR="004630B0" w:rsidRPr="003D0F7A">
        <w:rPr>
          <w:rFonts w:ascii="Arial" w:hAnsi="Arial" w:cs="Arial"/>
          <w:sz w:val="22"/>
          <w:szCs w:val="22"/>
          <w:lang w:val="pl-PL"/>
        </w:rPr>
        <w:t>.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 202</w:t>
      </w:r>
      <w:r w:rsidR="00CC4665" w:rsidRPr="003D0F7A">
        <w:rPr>
          <w:rFonts w:ascii="Arial" w:hAnsi="Arial" w:cs="Arial"/>
          <w:sz w:val="22"/>
          <w:szCs w:val="22"/>
          <w:lang w:val="pl-PL"/>
        </w:rPr>
        <w:t>4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lastRenderedPageBreak/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3F292F" w:rsidRDefault="00B520CF" w:rsidP="003F292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F292F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3F292F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proofErr w:type="gramStart"/>
      <w:r w:rsidR="002D4D0C" w:rsidRPr="003F292F">
        <w:rPr>
          <w:rFonts w:ascii="Arial" w:hAnsi="Arial" w:cs="Arial"/>
          <w:spacing w:val="6"/>
          <w:sz w:val="22"/>
          <w:szCs w:val="22"/>
        </w:rPr>
        <w:t>2.</w:t>
      </w:r>
      <w:r w:rsidR="00D313E5" w:rsidRPr="003F292F">
        <w:rPr>
          <w:rFonts w:ascii="Arial" w:hAnsi="Arial" w:cs="Arial"/>
          <w:spacing w:val="6"/>
          <w:sz w:val="22"/>
          <w:szCs w:val="22"/>
        </w:rPr>
        <w:t>2</w:t>
      </w:r>
      <w:r w:rsidR="003F292F">
        <w:rPr>
          <w:rFonts w:ascii="Arial" w:hAnsi="Arial" w:cs="Arial"/>
          <w:spacing w:val="6"/>
          <w:sz w:val="22"/>
          <w:szCs w:val="22"/>
        </w:rPr>
        <w:t>. písm.</w:t>
      </w:r>
      <w:proofErr w:type="gramEnd"/>
      <w:r w:rsidR="003F292F">
        <w:rPr>
          <w:rFonts w:ascii="Arial" w:hAnsi="Arial" w:cs="Arial"/>
          <w:spacing w:val="6"/>
          <w:sz w:val="22"/>
          <w:szCs w:val="22"/>
        </w:rPr>
        <w:t xml:space="preserve"> a), b)</w:t>
      </w:r>
      <w:r w:rsidRPr="003F292F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3F292F">
        <w:rPr>
          <w:rFonts w:ascii="Arial" w:hAnsi="Arial" w:cs="Arial"/>
          <w:sz w:val="22"/>
          <w:szCs w:val="22"/>
        </w:rPr>
        <w:br/>
      </w:r>
      <w:r w:rsidRPr="003F292F">
        <w:rPr>
          <w:rFonts w:ascii="Arial" w:eastAsia="MS Mincho" w:hAnsi="Arial" w:cs="Arial"/>
          <w:sz w:val="22"/>
          <w:szCs w:val="22"/>
        </w:rPr>
        <w:t>i před sjednanou dobou</w:t>
      </w:r>
      <w:r w:rsidRPr="003F292F">
        <w:rPr>
          <w:rFonts w:ascii="Arial" w:hAnsi="Arial" w:cs="Arial"/>
          <w:sz w:val="22"/>
          <w:szCs w:val="22"/>
        </w:rPr>
        <w:t>.</w:t>
      </w:r>
    </w:p>
    <w:p w:rsidR="003F292F" w:rsidRPr="003F292F" w:rsidRDefault="003F292F" w:rsidP="003F292F">
      <w:pPr>
        <w:pStyle w:val="Odstavecseseznamem"/>
        <w:tabs>
          <w:tab w:val="left" w:pos="567"/>
        </w:tabs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</w:t>
      </w:r>
      <w:r w:rsidR="004D6E50">
        <w:rPr>
          <w:color w:val="auto"/>
        </w:rPr>
        <w:t>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 w:rsidR="004D6E5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4D6E5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4D6E5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6564A3" w:rsidRDefault="006564A3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D82171" w:rsidRDefault="00D82171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D82171" w:rsidRDefault="00D82171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06F5A" w:rsidRDefault="00206F5A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>předmět</w:t>
      </w:r>
      <w:r w:rsidR="003F292F">
        <w:rPr>
          <w:rFonts w:ascii="Arial" w:hAnsi="Arial" w:cs="Arial"/>
          <w:sz w:val="22"/>
          <w:szCs w:val="22"/>
        </w:rPr>
        <w:t xml:space="preserve">u smlouvy dle bodu </w:t>
      </w:r>
      <w:proofErr w:type="gramStart"/>
      <w:r w:rsidR="003F292F">
        <w:rPr>
          <w:rFonts w:ascii="Arial" w:hAnsi="Arial" w:cs="Arial"/>
          <w:sz w:val="22"/>
          <w:szCs w:val="22"/>
        </w:rPr>
        <w:t xml:space="preserve">2.2. a), </w:t>
      </w:r>
      <w:r w:rsidR="000226CE">
        <w:rPr>
          <w:rFonts w:ascii="Arial" w:hAnsi="Arial" w:cs="Arial"/>
          <w:sz w:val="22"/>
          <w:szCs w:val="22"/>
        </w:rPr>
        <w:t>b)</w:t>
      </w:r>
      <w:r w:rsidR="00281ABB">
        <w:rPr>
          <w:rFonts w:ascii="Arial" w:hAnsi="Arial" w:cs="Arial"/>
          <w:sz w:val="22"/>
          <w:szCs w:val="22"/>
        </w:rPr>
        <w:t xml:space="preserve">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 w:rsidR="004D6E50"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 w:rsidR="004D6E50">
        <w:rPr>
          <w:rFonts w:ascii="Arial" w:eastAsia="MS Mincho" w:hAnsi="Arial" w:cs="Arial"/>
          <w:spacing w:val="-4"/>
          <w:sz w:val="22"/>
          <w:szCs w:val="22"/>
        </w:rPr>
        <w:t>4.3.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6564A3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6564A3" w:rsidRDefault="006564A3" w:rsidP="006564A3">
      <w:pPr>
        <w:pStyle w:val="Odstavecseseznamem"/>
        <w:rPr>
          <w:bCs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</w:t>
      </w:r>
      <w:r w:rsidRPr="00DE12ED">
        <w:rPr>
          <w:color w:val="auto"/>
        </w:rPr>
        <w:lastRenderedPageBreak/>
        <w:t xml:space="preserve">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024831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II/</w:t>
      </w:r>
      <w:r w:rsidR="000226CE">
        <w:rPr>
          <w:b/>
          <w:color w:val="auto"/>
        </w:rPr>
        <w:t>347 Světlá nad Sázavou – přeložka silnice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E51256" w:rsidRPr="00E51256">
        <w:rPr>
          <w:color w:val="auto"/>
        </w:rPr>
        <w:t>.</w:t>
      </w:r>
    </w:p>
    <w:p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4D6E50">
        <w:rPr>
          <w:color w:val="auto"/>
          <w:spacing w:val="-4"/>
        </w:rPr>
        <w:t>Město Světlá nad Sázavou, náměstí Trčků z Lípy 18, 582 91 Světlá nad Sázavou</w:t>
      </w:r>
      <w:r w:rsidR="00C4146A" w:rsidRPr="001C664A">
        <w:rPr>
          <w:color w:val="auto"/>
        </w:rPr>
        <w:t>.</w:t>
      </w:r>
    </w:p>
    <w:p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834709" w:rsidRDefault="00834709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0226CE">
        <w:rPr>
          <w:rFonts w:eastAsia="MS Mincho"/>
          <w:color w:val="auto"/>
        </w:rPr>
        <w:t>. písm.</w:t>
      </w:r>
      <w:proofErr w:type="gramEnd"/>
      <w:r w:rsidR="000226CE">
        <w:rPr>
          <w:rFonts w:eastAsia="MS Mincho"/>
          <w:color w:val="auto"/>
        </w:rPr>
        <w:t xml:space="preserve"> a), b)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lastRenderedPageBreak/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3F25C3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226CE">
        <w:rPr>
          <w:color w:val="auto"/>
          <w:spacing w:val="2"/>
        </w:rPr>
        <w:t>Zhotovitel je v souladu s touto smlouvu odpovědný za škodu způsobenou Objednateli nebo</w:t>
      </w:r>
      <w:r w:rsidRPr="000226CE">
        <w:rPr>
          <w:color w:val="auto"/>
          <w:spacing w:val="-6"/>
        </w:rPr>
        <w:t xml:space="preserve"> třetím</w:t>
      </w:r>
      <w:r w:rsidRPr="000226CE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0226CE">
        <w:rPr>
          <w:color w:val="auto"/>
          <w:spacing w:val="4"/>
        </w:rPr>
        <w:t>osobám vzniklou nevykonáním sjednaných činností či neposkytnutím sjednaných služeb</w:t>
      </w:r>
      <w:r w:rsidRPr="000226CE">
        <w:rPr>
          <w:color w:val="auto"/>
        </w:rPr>
        <w:t xml:space="preserve"> dle této smlouvy.  </w:t>
      </w:r>
    </w:p>
    <w:p w:rsidR="000226CE" w:rsidRPr="000226CE" w:rsidRDefault="000226CE" w:rsidP="000226C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891B1D" w:rsidRPr="001C664A">
        <w:rPr>
          <w:color w:val="auto"/>
        </w:rPr>
        <w:t>a to za každou vadu</w:t>
      </w:r>
      <w:r w:rsidR="00891B1D">
        <w:rPr>
          <w:color w:val="auto"/>
        </w:rPr>
        <w:t xml:space="preserve">, </w:t>
      </w:r>
      <w:r w:rsidR="00A968D0">
        <w:rPr>
          <w:color w:val="auto"/>
        </w:rPr>
        <w:t>nejvýše však 10 000</w:t>
      </w:r>
      <w:r w:rsidR="00891B1D">
        <w:rPr>
          <w:color w:val="auto"/>
        </w:rPr>
        <w:t xml:space="preserve"> Kč za den.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D82171" w:rsidRDefault="00D82171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D82171" w:rsidRDefault="00D82171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</w:t>
      </w:r>
      <w:r w:rsidR="00761AAC">
        <w:rPr>
          <w:rFonts w:eastAsia="MS Mincho"/>
          <w:color w:val="auto"/>
        </w:rPr>
        <w:t>výzvy k úhradě</w:t>
      </w:r>
      <w:r w:rsidRPr="001C664A">
        <w:rPr>
          <w:rFonts w:eastAsia="MS Mincho"/>
          <w:color w:val="auto"/>
        </w:rPr>
        <w:t xml:space="preserve">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A94263" w:rsidRDefault="00A94263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FF31FB" w:rsidRPr="001C664A" w:rsidRDefault="00FF31FB" w:rsidP="00FF31F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E15048" w:rsidRDefault="00E15048" w:rsidP="00E15048">
      <w:pPr>
        <w:pStyle w:val="Odstavecseseznamem"/>
      </w:pPr>
    </w:p>
    <w:p w:rsidR="00E15048" w:rsidRPr="002B7B7D" w:rsidRDefault="00E15048" w:rsidP="00E15048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E15048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  <w:r w:rsidR="00D71C42" w:rsidRPr="00D71C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71C42" w:rsidRPr="00D71C42">
        <w:rPr>
          <w:color w:val="auto"/>
        </w:rPr>
        <w:t xml:space="preserve">Postupy dle čl. </w:t>
      </w:r>
      <w:proofErr w:type="gramStart"/>
      <w:r w:rsidR="00D71C42" w:rsidRPr="00D71C42">
        <w:rPr>
          <w:color w:val="auto"/>
        </w:rPr>
        <w:t>11.12. a 11.13</w:t>
      </w:r>
      <w:proofErr w:type="gramEnd"/>
      <w:r w:rsidR="00D71C42" w:rsidRPr="00D71C42">
        <w:rPr>
          <w:color w:val="auto"/>
        </w:rPr>
        <w:t>. se užijí jen v případě, že Objedna</w:t>
      </w:r>
      <w:r w:rsidR="00D71C42">
        <w:rPr>
          <w:color w:val="auto"/>
        </w:rPr>
        <w:t>tel učiní žádost dle čl. 11.10.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  <w:r w:rsidR="00D71C42">
        <w:rPr>
          <w:color w:val="auto"/>
        </w:rPr>
        <w:t xml:space="preserve"> </w:t>
      </w:r>
      <w:r w:rsidR="00D71C42" w:rsidRPr="00D71C42">
        <w:rPr>
          <w:color w:val="auto"/>
        </w:rPr>
        <w:t xml:space="preserve">Postupy dle čl. </w:t>
      </w:r>
      <w:proofErr w:type="gramStart"/>
      <w:r w:rsidR="00D71C42" w:rsidRPr="00D71C42">
        <w:rPr>
          <w:color w:val="auto"/>
        </w:rPr>
        <w:t>11.12. a 11.13</w:t>
      </w:r>
      <w:proofErr w:type="gramEnd"/>
      <w:r w:rsidR="00D71C42" w:rsidRPr="00D71C42">
        <w:rPr>
          <w:color w:val="auto"/>
        </w:rPr>
        <w:t>. se užijí jen v případě, že Objedna</w:t>
      </w:r>
      <w:r w:rsidR="00D71C42">
        <w:rPr>
          <w:color w:val="auto"/>
        </w:rPr>
        <w:t>tel učiní žádost dle čl. 11.10.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AB09DC" w:rsidRDefault="00AB09DC" w:rsidP="00AB09DC">
      <w:pPr>
        <w:pStyle w:val="Odstavecseseznamem"/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</w:t>
      </w:r>
      <w:r w:rsidR="000226CE">
        <w:rPr>
          <w:color w:val="auto"/>
        </w:rPr>
        <w:br/>
      </w:r>
      <w:r w:rsidRPr="0093098A">
        <w:rPr>
          <w:color w:val="auto"/>
        </w:rPr>
        <w:t>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AB09DC" w:rsidRDefault="00AB09DC" w:rsidP="00AB09DC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D82171" w:rsidRDefault="00D82171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0226CE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</w:t>
      </w:r>
      <w:r w:rsidR="00C4146A" w:rsidRPr="001C664A">
        <w:rPr>
          <w:rFonts w:ascii="Arial" w:hAnsi="Arial" w:cs="Arial"/>
          <w:b/>
          <w:sz w:val="22"/>
          <w:szCs w:val="22"/>
        </w:rPr>
        <w:t>lánek 1</w:t>
      </w:r>
      <w:r w:rsidR="00942227">
        <w:rPr>
          <w:rFonts w:ascii="Arial" w:hAnsi="Arial" w:cs="Arial"/>
          <w:b/>
          <w:sz w:val="22"/>
          <w:szCs w:val="22"/>
        </w:rPr>
        <w:t>3</w:t>
      </w:r>
      <w:r w:rsidR="00C4146A"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C4146A"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</w:t>
      </w:r>
      <w:r w:rsidR="00FF31FB">
        <w:rPr>
          <w:rFonts w:eastAsia="MS Mincho"/>
          <w:color w:val="auto"/>
        </w:rPr>
        <w:t xml:space="preserve">e čtyřech </w:t>
      </w:r>
      <w:r w:rsidRPr="00934732">
        <w:rPr>
          <w:rFonts w:eastAsia="MS Mincho"/>
          <w:color w:val="auto"/>
        </w:rPr>
        <w:t xml:space="preserve">stejnopisech, z nichž každý je s platností originálu. Objednatel obdrží po oboustranném podpisu </w:t>
      </w:r>
      <w:r w:rsidR="00FF31FB">
        <w:rPr>
          <w:rFonts w:eastAsia="MS Mincho"/>
          <w:color w:val="auto"/>
        </w:rPr>
        <w:t xml:space="preserve">dva </w:t>
      </w:r>
      <w:r w:rsidRPr="00934732">
        <w:rPr>
          <w:rFonts w:eastAsia="MS Mincho"/>
          <w:color w:val="auto"/>
        </w:rPr>
        <w:t>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  <w:r w:rsidR="00D71C42" w:rsidRPr="00D71C42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D71C42" w:rsidRPr="00D71C42">
        <w:rPr>
          <w:rFonts w:eastAsia="MS Mincho"/>
          <w:color w:val="auto"/>
        </w:rPr>
        <w:t xml:space="preserve">V případě elektronické podoby </w:t>
      </w:r>
      <w:r w:rsidR="00D71C42">
        <w:rPr>
          <w:rFonts w:eastAsia="MS Mincho"/>
          <w:color w:val="auto"/>
        </w:rPr>
        <w:t>smlouvy</w:t>
      </w:r>
      <w:r w:rsidR="00D71C42" w:rsidRPr="00D71C42">
        <w:rPr>
          <w:rFonts w:eastAsia="MS Mincho"/>
          <w:color w:val="auto"/>
        </w:rPr>
        <w:t xml:space="preserve"> se vyhotovuje jeden elektronický originál a po podpisu oběma smluvními stranami</w:t>
      </w:r>
      <w:r w:rsidR="00D71C42">
        <w:rPr>
          <w:rFonts w:eastAsia="MS Mincho"/>
          <w:color w:val="auto"/>
        </w:rPr>
        <w:t xml:space="preserve"> každá ze smluvních stran tento originál obdrží.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3744C9" w:rsidRDefault="002F2EB8" w:rsidP="003744C9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F2EB8">
        <w:rPr>
          <w:color w:val="auto"/>
        </w:rPr>
        <w:t>Strany této smlouvy berou na vědomí, že město Světlá n</w:t>
      </w:r>
      <w:r>
        <w:rPr>
          <w:color w:val="auto"/>
        </w:rPr>
        <w:t xml:space="preserve">ad Sázavou je obcí podle zákona </w:t>
      </w:r>
      <w:r w:rsidRPr="002F2EB8">
        <w:rPr>
          <w:color w:val="auto"/>
        </w:rPr>
        <w:t xml:space="preserve">o obcích č. 128/2000 Sb., může tak mít povinnost zveřejnit tuto smlouvu nebo její části či jakékoliv jiné dokumenty nebo informace vytvořené v rámci tohoto smluvního vztahu, a to např. na profilu zadavatele dle zákona č. 134/2016 Sb., o zadávání veřejných zakázek, v registru smluv dle zákona č. 340/2015 Sb., o registru smluv, postupy podle zákona č. 106/1999 Sb., o svobodném přístupu k informacím nebo na své úřední desce dle zákona č. 128/2000 Sb., o obcích. Smluvní strany se dále dohodly, že elektronický obraz smlouvy v otevřeném a strojově čitelném formátu včetně </w:t>
      </w:r>
      <w:proofErr w:type="spellStart"/>
      <w:r w:rsidRPr="002F2EB8">
        <w:rPr>
          <w:color w:val="auto"/>
        </w:rPr>
        <w:t>metadat</w:t>
      </w:r>
      <w:proofErr w:type="spellEnd"/>
      <w:r w:rsidRPr="002F2EB8">
        <w:rPr>
          <w:color w:val="auto"/>
        </w:rPr>
        <w:t xml:space="preserve"> dle uvedeného zákona zašle k uveřejnění v registru smluv město Světlá nad Sázavou, a to bez zbytečného odkladu, nejpozději však do 30 dnů od uzavření smlouvy. </w:t>
      </w:r>
      <w:r w:rsidR="004B3CC3"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</w:t>
      </w:r>
      <w:r w:rsidR="00BC0D63" w:rsidRPr="00934732">
        <w:rPr>
          <w:color w:val="auto"/>
        </w:rPr>
        <w:t>.</w:t>
      </w:r>
    </w:p>
    <w:p w:rsidR="003744C9" w:rsidRDefault="003744C9" w:rsidP="003744C9">
      <w:pPr>
        <w:pStyle w:val="Zkladntextodsazen"/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744C9" w:rsidRPr="003744C9" w:rsidRDefault="003744C9" w:rsidP="003744C9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3744C9">
        <w:rPr>
          <w:b/>
          <w:color w:val="auto"/>
        </w:rPr>
        <w:t xml:space="preserve">Smlouva je uzavírána s odloženou účinností, přičemž tato Smlouva nabývá účinnosti dnem odeslání oznámení Objednatele o zajištění financování akce zařazením do </w:t>
      </w:r>
      <w:r w:rsidRPr="003744C9">
        <w:rPr>
          <w:b/>
          <w:color w:val="auto"/>
        </w:rPr>
        <w:lastRenderedPageBreak/>
        <w:t>rozpočtu města Světlá nad Sázavou na rok 2023</w:t>
      </w:r>
      <w:r w:rsidR="001A6BDB">
        <w:rPr>
          <w:b/>
          <w:color w:val="auto"/>
        </w:rPr>
        <w:t xml:space="preserve"> (předpoklad jednání zastupitelstva města v prosinci 2022)</w:t>
      </w:r>
      <w:r w:rsidRPr="003744C9">
        <w:rPr>
          <w:b/>
          <w:color w:val="auto"/>
        </w:rPr>
        <w:t>.</w:t>
      </w:r>
    </w:p>
    <w:p w:rsidR="003744C9" w:rsidRPr="003744C9" w:rsidRDefault="003744C9" w:rsidP="003744C9">
      <w:pPr>
        <w:pStyle w:val="Zkladntextodsazen"/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720"/>
        <w:jc w:val="both"/>
        <w:textAlignment w:val="auto"/>
        <w:rPr>
          <w:b/>
          <w:color w:val="auto"/>
        </w:rPr>
      </w:pPr>
    </w:p>
    <w:p w:rsidR="003744C9" w:rsidRPr="003744C9" w:rsidRDefault="003744C9" w:rsidP="003744C9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3744C9">
        <w:rPr>
          <w:b/>
          <w:color w:val="auto"/>
        </w:rPr>
        <w:t xml:space="preserve">Pokud Objednatel Zhotoviteli neodešle písemné oznámení o zajištění financování akce ani do </w:t>
      </w:r>
      <w:proofErr w:type="gramStart"/>
      <w:r w:rsidRPr="003744C9">
        <w:rPr>
          <w:b/>
          <w:color w:val="auto"/>
        </w:rPr>
        <w:t>28.2.2023</w:t>
      </w:r>
      <w:proofErr w:type="gramEnd"/>
      <w:r w:rsidRPr="003744C9">
        <w:rPr>
          <w:b/>
          <w:color w:val="auto"/>
        </w:rPr>
        <w:t>, nenabude Smlouva účinnosti a bez dalšího tímto dnem pozbude i své platnosti. V takovém případě nevzniká Zhotoviteli nárok na náhradu škody nebo ušlého zisku a s tímto vědomím Zhotovitel Smlouvu podepisuje.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660581" w:rsidRPr="00D8217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3D0F7A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:rsidR="00D82171" w:rsidRDefault="00D82171" w:rsidP="00D82171">
      <w:pPr>
        <w:pStyle w:val="Odstavecseseznamem"/>
      </w:pPr>
    </w:p>
    <w:p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3D0F7A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84F82" w:rsidRDefault="00A84F82" w:rsidP="00A84F82">
      <w:pPr>
        <w:pStyle w:val="Odstavecseseznamem"/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:rsidR="00E637D4" w:rsidRDefault="00E637D4" w:rsidP="00E637D4">
      <w:pPr>
        <w:pStyle w:val="Odstavecseseznamem"/>
        <w:rPr>
          <w:spacing w:val="-4"/>
        </w:rPr>
      </w:pPr>
    </w:p>
    <w:p w:rsidR="00E637D4" w:rsidRPr="006A6DD0" w:rsidRDefault="00E637D4" w:rsidP="00E637D4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Pr="007E38D2">
        <w:rPr>
          <w:color w:val="auto"/>
          <w:spacing w:val="-6"/>
        </w:rPr>
        <w:t>v rozsahu vyšším než 10</w:t>
      </w:r>
      <w:r>
        <w:rPr>
          <w:color w:val="auto"/>
          <w:spacing w:val="-6"/>
        </w:rPr>
        <w:t xml:space="preserve"> </w:t>
      </w:r>
      <w:r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637D4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A84F82" w:rsidRPr="00A94263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2"/>
          <w:szCs w:val="12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FF31FB" w:rsidRDefault="00FF31FB" w:rsidP="00FF31FB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F31FB" w:rsidRDefault="00FF31FB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Uzavření smlouvy o dílo bylo odsouhlaseno na jednání Rady města Světlá nad Sázavou, na jednání konaném dne ……., usnesením č. R/</w:t>
      </w:r>
      <w:proofErr w:type="gramStart"/>
      <w:r>
        <w:rPr>
          <w:color w:val="auto"/>
        </w:rPr>
        <w:t>…../…</w:t>
      </w:r>
      <w:proofErr w:type="gramEnd"/>
      <w:r>
        <w:rPr>
          <w:color w:val="auto"/>
        </w:rPr>
        <w:t>…..</w:t>
      </w:r>
    </w:p>
    <w:p w:rsidR="00FF31FB" w:rsidRDefault="00FF31FB" w:rsidP="00FF31FB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480"/>
        <w:jc w:val="both"/>
        <w:textAlignment w:val="auto"/>
        <w:rPr>
          <w:color w:val="auto"/>
        </w:rPr>
      </w:pPr>
    </w:p>
    <w:p w:rsidR="00D82171" w:rsidRDefault="00D8217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:rsidR="00D82171" w:rsidRDefault="00D8217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bookmarkStart w:id="0" w:name="_GoBack"/>
      <w:bookmarkEnd w:id="0"/>
      <w:r w:rsidRPr="00A772C8">
        <w:rPr>
          <w:color w:val="auto"/>
        </w:rPr>
        <w:lastRenderedPageBreak/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864A61" w:rsidRPr="001C664A" w:rsidRDefault="00D71C42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Ve Světlé nad Sázavou</w:t>
      </w:r>
      <w:r w:rsidR="00864A61" w:rsidRPr="001C664A">
        <w:rPr>
          <w:color w:val="auto"/>
        </w:rPr>
        <w:t xml:space="preserve">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:rsidR="00FF31FB" w:rsidRPr="00E51256" w:rsidRDefault="00FF31FB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942227" w:rsidRDefault="00942227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2B2A09" w:rsidRDefault="00FF31FB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……………………………………</w:t>
      </w:r>
      <w:r>
        <w:rPr>
          <w:rFonts w:eastAsia="MS Mincho"/>
        </w:rPr>
        <w:tab/>
      </w:r>
      <w:r>
        <w:rPr>
          <w:rFonts w:eastAsia="MS Mincho"/>
        </w:rPr>
        <w:tab/>
        <w:t>……………………………………..</w:t>
      </w:r>
    </w:p>
    <w:p w:rsidR="00C4146A" w:rsidRPr="001C664A" w:rsidRDefault="00FF31FB" w:rsidP="00AB09DC">
      <w:pPr>
        <w:pStyle w:val="Zkladntext2"/>
        <w:tabs>
          <w:tab w:val="left" w:pos="4678"/>
        </w:tabs>
        <w:suppressAutoHyphens/>
      </w:pPr>
      <w:r>
        <w:rPr>
          <w:rFonts w:eastAsia="MS Mincho"/>
        </w:rPr>
        <w:t>starosta města</w:t>
      </w:r>
      <w:r w:rsidR="00D71C42">
        <w:rPr>
          <w:rFonts w:eastAsia="MS Mincho"/>
        </w:rPr>
        <w:tab/>
      </w:r>
      <w:r w:rsidR="00D71C42">
        <w:rPr>
          <w:rFonts w:eastAsia="MS Mincho"/>
        </w:rPr>
        <w:tab/>
      </w:r>
      <w:r w:rsidR="00D71C42">
        <w:rPr>
          <w:rFonts w:eastAsia="MS Mincho"/>
        </w:rPr>
        <w:tab/>
      </w:r>
      <w:r w:rsidR="00D71C42">
        <w:rPr>
          <w:highlight w:val="cyan"/>
          <w:lang w:eastAsia="en-US"/>
        </w:rPr>
        <w:fldChar w:fldCharType="begin"/>
      </w:r>
      <w:r w:rsidR="00D71C42">
        <w:rPr>
          <w:highlight w:val="cyan"/>
          <w:lang w:eastAsia="en-US"/>
        </w:rPr>
        <w:instrText xml:space="preserve"> MACROBUTTON  AcceptConflict "[...doplní dodavatel...]" </w:instrText>
      </w:r>
      <w:r w:rsidR="00D71C42">
        <w:rPr>
          <w:highlight w:val="cyan"/>
          <w:lang w:eastAsia="en-US"/>
        </w:rPr>
        <w:fldChar w:fldCharType="end"/>
      </w:r>
    </w:p>
    <w:sectPr w:rsidR="00C4146A" w:rsidRPr="001C664A" w:rsidSect="000226CE">
      <w:footerReference w:type="default" r:id="rId8"/>
      <w:headerReference w:type="first" r:id="rId9"/>
      <w:footerReference w:type="first" r:id="rId10"/>
      <w:pgSz w:w="11906" w:h="16838" w:code="9"/>
      <w:pgMar w:top="1304" w:right="1134" w:bottom="1418" w:left="1418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C89" w:rsidRDefault="00F25C89">
      <w:r>
        <w:separator/>
      </w:r>
    </w:p>
  </w:endnote>
  <w:endnote w:type="continuationSeparator" w:id="0">
    <w:p w:rsidR="00F25C89" w:rsidRDefault="00F25C89">
      <w:r>
        <w:continuationSeparator/>
      </w:r>
    </w:p>
  </w:endnote>
  <w:endnote w:type="continuationNotice" w:id="1">
    <w:p w:rsidR="00F25C89" w:rsidRDefault="00F25C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Default="00B06B87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82171">
      <w:rPr>
        <w:rFonts w:ascii="Arial" w:hAnsi="Arial" w:cs="Arial"/>
        <w:noProof/>
        <w:sz w:val="20"/>
        <w:szCs w:val="20"/>
      </w:rPr>
      <w:t>12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82171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Default="00B06B87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82171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82171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C89" w:rsidRDefault="00F25C89">
      <w:r>
        <w:separator/>
      </w:r>
    </w:p>
  </w:footnote>
  <w:footnote w:type="continuationSeparator" w:id="0">
    <w:p w:rsidR="00F25C89" w:rsidRDefault="00F25C89">
      <w:r>
        <w:continuationSeparator/>
      </w:r>
    </w:p>
  </w:footnote>
  <w:footnote w:type="continuationNotice" w:id="1">
    <w:p w:rsidR="00F25C89" w:rsidRDefault="00F25C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B87" w:rsidRPr="00C82BDA" w:rsidRDefault="00B06B8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06B87" w:rsidRPr="00C82BDA" w:rsidRDefault="00B06B8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B06B87" w:rsidRDefault="00B06B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83D2051"/>
    <w:multiLevelType w:val="multilevel"/>
    <w:tmpl w:val="B450EF42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2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2"/>
  </w:num>
  <w:num w:numId="2">
    <w:abstractNumId w:val="21"/>
  </w:num>
  <w:num w:numId="3">
    <w:abstractNumId w:val="47"/>
  </w:num>
  <w:num w:numId="4">
    <w:abstractNumId w:val="0"/>
  </w:num>
  <w:num w:numId="5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34"/>
  </w:num>
  <w:num w:numId="10">
    <w:abstractNumId w:val="11"/>
  </w:num>
  <w:num w:numId="11">
    <w:abstractNumId w:val="5"/>
  </w:num>
  <w:num w:numId="12">
    <w:abstractNumId w:val="37"/>
  </w:num>
  <w:num w:numId="13">
    <w:abstractNumId w:val="13"/>
  </w:num>
  <w:num w:numId="14">
    <w:abstractNumId w:val="27"/>
  </w:num>
  <w:num w:numId="15">
    <w:abstractNumId w:val="31"/>
  </w:num>
  <w:num w:numId="16">
    <w:abstractNumId w:val="7"/>
  </w:num>
  <w:num w:numId="17">
    <w:abstractNumId w:val="22"/>
  </w:num>
  <w:num w:numId="18">
    <w:abstractNumId w:val="3"/>
  </w:num>
  <w:num w:numId="19">
    <w:abstractNumId w:val="14"/>
  </w:num>
  <w:num w:numId="20">
    <w:abstractNumId w:val="41"/>
  </w:num>
  <w:num w:numId="21">
    <w:abstractNumId w:val="39"/>
  </w:num>
  <w:num w:numId="22">
    <w:abstractNumId w:val="17"/>
  </w:num>
  <w:num w:numId="23">
    <w:abstractNumId w:val="12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0"/>
  </w:num>
  <w:num w:numId="27">
    <w:abstractNumId w:val="46"/>
  </w:num>
  <w:num w:numId="28">
    <w:abstractNumId w:val="23"/>
  </w:num>
  <w:num w:numId="29">
    <w:abstractNumId w:val="26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5"/>
  </w:num>
  <w:num w:numId="36">
    <w:abstractNumId w:val="8"/>
  </w:num>
  <w:num w:numId="37">
    <w:abstractNumId w:val="32"/>
  </w:num>
  <w:num w:numId="38">
    <w:abstractNumId w:val="40"/>
  </w:num>
  <w:num w:numId="39">
    <w:abstractNumId w:val="18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25"/>
  </w:num>
  <w:num w:numId="43">
    <w:abstractNumId w:val="9"/>
  </w:num>
  <w:num w:numId="44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26CE"/>
    <w:rsid w:val="00024831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22DE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4382"/>
    <w:rsid w:val="001A5CC2"/>
    <w:rsid w:val="001A5CD1"/>
    <w:rsid w:val="001A5EEE"/>
    <w:rsid w:val="001A69C7"/>
    <w:rsid w:val="001A6BDB"/>
    <w:rsid w:val="001A6E27"/>
    <w:rsid w:val="001A7AFE"/>
    <w:rsid w:val="001B0164"/>
    <w:rsid w:val="001B2229"/>
    <w:rsid w:val="001B511A"/>
    <w:rsid w:val="001B6C6F"/>
    <w:rsid w:val="001B743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6F5A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29AE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2EB8"/>
    <w:rsid w:val="002F5D0B"/>
    <w:rsid w:val="002F7854"/>
    <w:rsid w:val="00301247"/>
    <w:rsid w:val="00305C1A"/>
    <w:rsid w:val="00305D0F"/>
    <w:rsid w:val="00306965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31AC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4C9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0F7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292F"/>
    <w:rsid w:val="003F4416"/>
    <w:rsid w:val="003F6C66"/>
    <w:rsid w:val="003F79A5"/>
    <w:rsid w:val="00400D8F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46A9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C42A1"/>
    <w:rsid w:val="004D106B"/>
    <w:rsid w:val="004D1855"/>
    <w:rsid w:val="004D1918"/>
    <w:rsid w:val="004D41EF"/>
    <w:rsid w:val="004D606A"/>
    <w:rsid w:val="004D6E50"/>
    <w:rsid w:val="004E00F2"/>
    <w:rsid w:val="004E171F"/>
    <w:rsid w:val="004E2800"/>
    <w:rsid w:val="004E39E5"/>
    <w:rsid w:val="004E5C1C"/>
    <w:rsid w:val="004E668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C7A7E"/>
    <w:rsid w:val="005D16B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50E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2FF8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64A3"/>
    <w:rsid w:val="006574CD"/>
    <w:rsid w:val="00660581"/>
    <w:rsid w:val="00663FC7"/>
    <w:rsid w:val="0066451C"/>
    <w:rsid w:val="006665DA"/>
    <w:rsid w:val="00671262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0FF5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2CA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1AAC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4709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8AC"/>
    <w:rsid w:val="008879A3"/>
    <w:rsid w:val="00890FAD"/>
    <w:rsid w:val="008916F9"/>
    <w:rsid w:val="00891B1D"/>
    <w:rsid w:val="0089609B"/>
    <w:rsid w:val="00896F0C"/>
    <w:rsid w:val="008A0F46"/>
    <w:rsid w:val="008A36F9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37BD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227"/>
    <w:rsid w:val="00942AEC"/>
    <w:rsid w:val="00943EA5"/>
    <w:rsid w:val="00945CA8"/>
    <w:rsid w:val="00947CBC"/>
    <w:rsid w:val="00950109"/>
    <w:rsid w:val="00953BA1"/>
    <w:rsid w:val="0095404B"/>
    <w:rsid w:val="00957410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22C1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309B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263"/>
    <w:rsid w:val="00A948BA"/>
    <w:rsid w:val="00A968D0"/>
    <w:rsid w:val="00A96FDD"/>
    <w:rsid w:val="00AA21A1"/>
    <w:rsid w:val="00AA3C81"/>
    <w:rsid w:val="00AA4337"/>
    <w:rsid w:val="00AA4763"/>
    <w:rsid w:val="00AB09DC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6B87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3C9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B7F9D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2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14D"/>
    <w:rsid w:val="00CB5A09"/>
    <w:rsid w:val="00CB7BE5"/>
    <w:rsid w:val="00CC18A7"/>
    <w:rsid w:val="00CC3741"/>
    <w:rsid w:val="00CC4665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1C42"/>
    <w:rsid w:val="00D72659"/>
    <w:rsid w:val="00D74D6A"/>
    <w:rsid w:val="00D75849"/>
    <w:rsid w:val="00D767B4"/>
    <w:rsid w:val="00D8105C"/>
    <w:rsid w:val="00D82171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2CD"/>
    <w:rsid w:val="00DC6970"/>
    <w:rsid w:val="00DD1DD6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01E"/>
    <w:rsid w:val="00DF7616"/>
    <w:rsid w:val="00DF7761"/>
    <w:rsid w:val="00DF7FC4"/>
    <w:rsid w:val="00E04D1A"/>
    <w:rsid w:val="00E072B5"/>
    <w:rsid w:val="00E11E43"/>
    <w:rsid w:val="00E15048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7D4"/>
    <w:rsid w:val="00E63898"/>
    <w:rsid w:val="00E65651"/>
    <w:rsid w:val="00E674DB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1898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25C89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31F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4B8880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customStyle="1" w:styleId="CM1">
    <w:name w:val="CM1"/>
    <w:basedOn w:val="Normln"/>
    <w:next w:val="Normln"/>
    <w:uiPriority w:val="99"/>
    <w:rsid w:val="00E637D4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3AD6F-F37E-4235-81F0-2F87830E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15</Pages>
  <Words>5231</Words>
  <Characters>32114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21</cp:revision>
  <cp:lastPrinted>2020-01-27T08:54:00Z</cp:lastPrinted>
  <dcterms:created xsi:type="dcterms:W3CDTF">2022-09-22T05:46:00Z</dcterms:created>
  <dcterms:modified xsi:type="dcterms:W3CDTF">2022-10-04T07:24:00Z</dcterms:modified>
</cp:coreProperties>
</file>